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5028A">
      <w:pPr>
        <w:ind w:firstLine="4760" w:firstLineChars="1700"/>
        <w:rPr>
          <w:rFonts w:ascii="仿宋" w:hAnsi="仿宋" w:eastAsia="仿宋"/>
          <w:sz w:val="28"/>
          <w:szCs w:val="28"/>
        </w:rPr>
      </w:pPr>
    </w:p>
    <w:p w14:paraId="2F5DB8AA">
      <w:pPr>
        <w:rPr>
          <w:rFonts w:hint="eastAsia" w:ascii="仿宋" w:hAnsi="仿宋" w:eastAsia="仿宋"/>
          <w:sz w:val="28"/>
          <w:szCs w:val="28"/>
          <w:lang w:val="en-US" w:eastAsia="zh-CN"/>
        </w:rPr>
      </w:pPr>
      <w:r>
        <w:rPr>
          <w:rFonts w:hint="eastAsia" w:ascii="仿宋" w:hAnsi="仿宋" w:eastAsia="仿宋"/>
          <w:sz w:val="28"/>
          <w:szCs w:val="28"/>
          <w:lang w:eastAsia="zh-CN"/>
        </w:rPr>
        <w:t>附件：</w:t>
      </w:r>
      <w:r>
        <w:rPr>
          <w:rFonts w:hint="eastAsia" w:ascii="仿宋" w:hAnsi="仿宋" w:eastAsia="仿宋"/>
          <w:sz w:val="28"/>
          <w:szCs w:val="28"/>
          <w:lang w:val="en-US" w:eastAsia="zh-CN"/>
        </w:rPr>
        <w:t>1</w:t>
      </w:r>
    </w:p>
    <w:tbl>
      <w:tblPr>
        <w:tblW w:w="92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0"/>
        <w:gridCol w:w="1545"/>
        <w:gridCol w:w="870"/>
        <w:gridCol w:w="5731"/>
      </w:tblGrid>
      <w:tr w14:paraId="4204F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F0D775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序号</w:t>
            </w:r>
          </w:p>
        </w:tc>
        <w:tc>
          <w:tcPr>
            <w:tcW w:w="1545"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8ACD9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Style w:val="6"/>
                <w:bdr w:val="none" w:color="auto" w:sz="0" w:space="0"/>
                <w:lang w:val="en-US" w:eastAsia="zh-CN" w:bidi="ar"/>
              </w:rPr>
              <w:t>设备名称</w:t>
            </w:r>
          </w:p>
        </w:tc>
        <w:tc>
          <w:tcPr>
            <w:tcW w:w="87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E56591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数量</w:t>
            </w:r>
          </w:p>
        </w:tc>
        <w:tc>
          <w:tcPr>
            <w:tcW w:w="573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51F67E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技术参数</w:t>
            </w:r>
          </w:p>
        </w:tc>
      </w:tr>
      <w:tr w14:paraId="26788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F1B9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bdr w:val="none" w:color="auto" w:sz="0" w:space="0"/>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14:paraId="68727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8"/>
                <w:bdr w:val="none" w:color="auto" w:sz="0" w:space="0"/>
                <w:lang w:val="en-US" w:eastAsia="zh-CN" w:bidi="ar"/>
              </w:rPr>
              <w:t>通道式</w:t>
            </w:r>
            <w:r>
              <w:rPr>
                <w:rStyle w:val="9"/>
                <w:rFonts w:eastAsia="宋体"/>
                <w:bdr w:val="none" w:color="auto" w:sz="0" w:space="0"/>
                <w:lang w:val="en-US" w:eastAsia="zh-CN" w:bidi="ar"/>
              </w:rPr>
              <w:t>X</w:t>
            </w:r>
            <w:r>
              <w:rPr>
                <w:rStyle w:val="8"/>
                <w:bdr w:val="none" w:color="auto" w:sz="0" w:space="0"/>
                <w:lang w:val="en-US" w:eastAsia="zh-CN" w:bidi="ar"/>
              </w:rPr>
              <w:t>光安检机</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39A0B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731" w:type="dxa"/>
            <w:tcBorders>
              <w:top w:val="single" w:color="000000" w:sz="4" w:space="0"/>
              <w:left w:val="single" w:color="000000" w:sz="4" w:space="0"/>
              <w:bottom w:val="single" w:color="000000" w:sz="4" w:space="0"/>
              <w:right w:val="single" w:color="000000" w:sz="4" w:space="0"/>
            </w:tcBorders>
            <w:shd w:val="clear"/>
            <w:vAlign w:val="center"/>
          </w:tcPr>
          <w:p w14:paraId="61DFE4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 执行标准：</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★GB15208.1-2018微剂量X射线安全检查设备第1部分:通用技术要求.</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★GB15208. 2-2018微剂量X射线安全检查设备第2部分:透射式行包安全检查设备。</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通道尺寸：宽度不低于650毫米，高度不低于500毫米。安检机需为一体化设计，配备一体式操作台，方便安检人员操作和减少占地空间。</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★线分辨力检验：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底视角：φ0.0787mm   侧视角：φ0.0787mm(公安部检测报告证明出具带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★穿透分辨力检验: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底视角：φ0.160mm   侧视角：φ0.160mm(公安部检测报告证明出具带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★空间分辨力检验: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底视角：水平：φ0.8mm  垂直：φ0.8mm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侧视角：水平：φ0.8mm  垂直：φ0.8mm(公安部检测报告证明出具带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★穿透力检验：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底视角：46mm厚  侧视角：46mm厚 (公安部检测报告证明出具带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★单次检查剂量检验：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2个X射线产生装置，一个通道，单次检查剂量:≤ 3.1μGy (公安部检测报告证明出具带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★周围剂量当量率检验：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工作人员位置的周围剂量当量率≤0. 08μSv/h。(公安部检测报告证明出具带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设备噪声检验：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设备正常工作时在距离设备外表面1m任意处，设备噪声应≤55dB。</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有机物分辨检验：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应能分辨厚度范围为1 mm~120 mm的有机物阶梯，并赋予不同饱和度的橙色。</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混合物分辨检验：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应能分辨厚度范围为1mm~60mm的合金铝:阶梯，并赋予不同饱和度的绿色。</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无机物分辨检验：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应能分辨厚度范围为0. 2 mm~ 14 mm的钢阶梯，并赋予不同饱和度的蓝色。</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图像显示具有垂直视角图像显示和水平视角图像显示功能，且分辨率不低于1920*1080p.</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图像放大，可对图像连续放大，放大倍数应可配置为2-64倍，并可通过鼠标滚轮对图像进行放大。</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图像自动保存检验: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可存储至少100000幅图像；保存图像应包含图像生成时间、操机员ID、设备识别号等信息；当图像数据量达到设定的存储数量限值时，系统应能够自动删除起始数据。</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X射线发生器:照射束发射方向：底照式及侧照式（双源双视角）。</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管电压：80-160KV可调，管电流：0.4~1.2mA（可调），射线束发散角：80。</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传送装置：应采用不影响X射线的材料，传送带不跑偏，传送带速度≥0.2米/秒。</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输送装置检验：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检查状态下的输送速度: 0.21 m/s，正向连续运转10min内，横向位移min内，横向位移1.0mm，反向连续运转30 s内，横向位移2. 0mm</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X射线发生装置安全要求：</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接地线的颜色应是黄绿色，接地电阻不应超过0.08Ω。</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★设备启动时间检验：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开机启动时间不超过40秒。(公安部检测报告证明出具带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一键关机功能检验：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可一键切断样机电源并关机。</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★超薄物检测功能检验：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当被测物过薄而无法遮挡光障时,按下相应的功能键后可对超薄物进行探测，可检测最薄金属厚度为0.04mm。(公安部检测报告证明出具带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双向检测功能检验：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样机的输送带应能正反双向运行，且正反方向运行时均应能对通过物品进行X射线透视检测。</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★图像识别培训功能检验：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样机软件具有物品图像库,具备对物品图像识别培训功能，能通过物品图像库对安检员进行自我训练，能对训练中的数据统计分析，记录漏检率，能对记录数据进行查询。   (公安部检测报告证明出具带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★OSD菜单功能键检验：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可通过鼠标操作显示屏的快捷功能键，控制安检机传送带正转/反转/停止、设备校正、图像处理。(公安部检测报告证明出具带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★高吸收率报警功能检验：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对穿不透区域可给出声光报警提示。(公安部检测报告证明出具带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★疑似危险有机物报警功能检验：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设备应能对原子序数为7、8、9附近的嫌疑有机物进行增强显示，并发出声光报警提示。(公安部检测报告证明出具带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设备自诊断功能检验：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设备应具备自诊断功能，并生成至少包括X射线产生装置、X射线探测器、控制器等主要功能部件运行状态的诊断报告。</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★远程控制与扩展功能检验：可通过软件远程控制电动滚筒运行和停止，并能远程获取设备运行状态。(公安部检测报告证明出具带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★通道延伸检验：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样机具有通道延伸罩，采用双层错位铅帘、铅板进行防护。(公安部检测报告证明出具带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★泄露射线剂量接收功能检验：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样机操作台具有泄漏射线剂量率，当周围剂量当量超过限值时，可发出声音报警。(公安部检测报告证明出具带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节能环保功能检验：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当传送带上无行李物品时，设备的传送装置可自动停止，当行李物品放.上传送带时，设备的传送装置可自动运行。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★多瓶液体同时检测报警功能检验：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当放置在常用塑料饮料瓶内的多瓶液体通过通道时，样机可对液体分别划框并发出声光报警提示。(公安部检测报告证明出具带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★自动清洁防夹包功能检验：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样机可通过传送带与出入口接物架间的托辊，清洗皮带并防止卡包和夹手。(公安部检测报告证明出具带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★触摸板式鼠标操作功能检验：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设备应可通过操作键盘板上的触控板进行鼠标操作。(公安部检测报告证明出具带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★自动散热功能检验：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当样机内温度高于低于设置阈值后，可自动开启或关闭散热风扇。(公安部检测报告证明出具带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★指纹开机功能检验：</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可通过指纹模块控制开关机。(公安部检测报告证明出具带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用户管理：</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提供操作人员、管理人员和维修人员三类权限用户。</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应能够对各类用户分组进行管理。</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电源为220V，电源功耗不超过1千伏安。</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配套辅助检查设备：</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★1.探测性能：:符合GB12899-2018手持式金属探测器通用技术规范，探测距离满足A级标准。(公安部检测报告证明)</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★2.探测灵敏度:按GB12899-2018手持式金属探测器通用技术规范，T1测试物6cm，T2测试物8cm，T3测试物10cm.(公安部检测报告证明出具带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3.外形尺寸：探测器外形尺寸小于等于293mm（长）*67mm（宽）*25mm（高）</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★4.按键操作功能：应能通过按键实现报警光、报警光加声音、报警光加振动、报警光加声音加振动等报警模式切换。(公安部检测报告证明出具带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5.开关提供功能：电源开关为滑动式开关，具有二个主要功能和三个位置（Power：ON-OFF-（ON）），电源控制方便、灵活、快捷。</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6.关机提示声音功能：应可一键关机、关机时应有提示音。</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7.报警声音：符合GB12899-2018手持式金属探测距离0.8M处最大声音大于等于93dB。</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★8.辐射磁感应强度：符合GB12899-2018手持式金属探测器通用技术规范，小于等于6μT。(公安部检测报告证明出具带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9.高温试验:室外型：+70℃±2℃、2h。试验期间功能应正常。</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10.低温试验:室外型：-30℃±3℃、2h。试验期间功能应正常。</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11.电量检测指示灯（电池电压低于正常工作电压时，听到持续的报警声，绿色READY灯停止闪烁，红色的 ALERT灯发出红光，黄色常亮指示灯可亮起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★12.微小金属探测功能：0.05g焊锡球为测试物，当手探以1m/s的速度贴着测试物掠过探测器应能报警。(公安部检测报告证明出具带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13.回形针探测能力试验：以3#回形针为探测物，探测器以接近1m/s的速度在测试平面上方0.5m处沿Z轴向下运动，直至接触到测试平面，然后以同样的速度迅速提起回到初试位置。从距Z轴0.5m处开始，沿着Y轴平行的方向从探测器一侧穿过Z轴到另一侧距Z轴0.5m处，60mm高度不出现漏报警或误报警。(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15.节能模式检查:设备开启后，2分钟不使用应进入休眠模式，在休眠模式下按任意键应自动进入检测模式。</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16.电池防反接功能检查：电池反接开机后，手探也不应损坏。更换电池级性后重新开机，手探应能正常使用。</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★17.抗相互干扰试验：多台探测器相隔距离45cm同时使用应能正常工作。</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18.工作电流：灯光+有音70MA，灯光15MA，灯光+振动40MA，灯光+有声+振动90MA</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19.环境自适应功能：设备开启后，静置于金属上的报警时长超过规定时间后，应不再报警。</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★20.外壳阻燃测试：非金属外壳设备，其外壳应能阻燃。应符合GB16796-2009中5.6.3的规定。(公安部检测报告证明出具带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检测依据:带★项必须提供标注该项内容在（公安部检验中心检验报告）对应所在页码及序号并加盖投标人公章（原件备查）检验依据标准必须为GB15208.1-2018微剂量X射线安全检查设备第1部分:通用技术要求，GB15208. 2-2018微剂量X射线安全检查设备第2部分:透射式行包安全检查设备，GB12899-2018手持式金属探测器通用技术规范作为评判依据，技术参数检验检测报告中未体现或未描述部分视为负偏离或不响应，检验检测报告检测依据的出具日期不得晚于本项目招标公告发布之日起。</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智能判图功能要求：</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1.★设备应具有充足性能、便于定制功能快速开发及后期算法更新，整机应采用 X86 架构的通用处理器，同时图像采集、图像分配和图像切换的模块应整体内置于设备内部；</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2、上电自启：当断电后恢复断电时，设备能自动启动至智能识别软件界面。</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3、设备接口应不少于：</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a)2个 DVI-D 接口；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b)2个 DVI-D 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c)2个 HDMI 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d)1 个 DP 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e)1个 VGA 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g)4 个 USB 3.0 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h)2 个 USB 2.0 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j)2 个 RJ45 网络接口；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k)2个音频接口；</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4、设备电源需采用交流 110V-220V，内置额定功率不高于550W 的稳压电源；</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★5、设备需支持以下图像分辨率和帧率：</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1)1280×1024 60fps;</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2)1920×1080 50fps；</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3)1920×1080 60fps；</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★6、设备对单张 X 光图像识别时间不高于100ms；（投标文件中提供第三方有权检测机构出具带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7、智能识别功能 设备应支持违禁品禁限带识别种类不低于75 种。（投标文件中提供第三方有权检测机构出具带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8、存在背景干扰物情况下，设备的识别平均误报率不高于1%；</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9、设备应能对管制刀具、枪支弹药（含主要零部件）、管制器具、烟花爆竹、压力容器罐、可疑液体（盛装汽油、柴油、乙醇、甲醇、甲苯等液体容器）、打火机、公章、锂电池等类别进行识别，具体识别率要求如下：设备在无背景干扰物条件下：管制刀具不低于 99%、枪支弹药（含主要零部件）不低于 98%；（投标文件中提供第三方有权检测机构出具带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10、功能要求：</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开关机外接按钮：为方便设备开关机，设备应支持通过有线连接在操作台桌面设置开关机按钮，开关机按钮实现对设备的开机和关机操作，同时按钮应具备防误触保护盖；（投标文件中提供第三方有权检测机构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★2)人包图关联：设备应支持在保持安检机原有画面时，可选择性将人脸照片、行包可见光照片和对应的 X 光图像进行关联保存并发送到平台；（投标文件中提供第三方有权检测机构出具带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3)设备应能在安检 X 光图像上实时显示识别结果，识别结果包括目标框、目标类别名称和置信度等信息，同时支持安检员在该图像上修改目标框，并保存或发送到平台；</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★4)双视角识别关联：设备应支持可选择性将侧视角 X 光图像的识别结果同步显示到对应的同个行包的主视角 X 光图像上；（投标文件中提供第三方有权检测机构出具带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5)支持通过有线连接在操作台桌面设置的按钮实现对设备的智能识别模式和原始图像模式的切换操作；</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6)设备应支持主/侧视角 X 光图像及识别结果的关联存储，存储量应大于等于 200万张；</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7) 设备应支持设置重启计划；</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8)设备应具备违禁品统计和检索查询功能，并支持对不同违禁品类别、违禁品数量、时间等按表格/柱状图/折线图等进行展示；</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9)设备应具备权限管理、数据加密、数据保全等功能，以保障数据在存储和传输的安全；</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★10)软件升级：设备应支持通过 USB/SFTP/Web 端软件进行本地或远程的软件升级。（投标文件中提供第三方有权检测机构出具带 CANS、CMA 标识的检测报告扫描件）</w:t>
            </w:r>
          </w:p>
        </w:tc>
      </w:tr>
      <w:tr w14:paraId="58D42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6F0D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bdr w:val="none" w:color="auto" w:sz="0" w:space="0"/>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14:paraId="6F9DF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智能探测安检门</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14:paraId="66C88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5731" w:type="dxa"/>
            <w:tcBorders>
              <w:top w:val="single" w:color="000000" w:sz="4" w:space="0"/>
              <w:left w:val="single" w:color="000000" w:sz="4" w:space="0"/>
              <w:bottom w:val="single" w:color="000000" w:sz="4" w:space="0"/>
              <w:right w:val="single" w:color="000000" w:sz="4" w:space="0"/>
            </w:tcBorders>
            <w:shd w:val="clear"/>
            <w:vAlign w:val="center"/>
          </w:tcPr>
          <w:p w14:paraId="31DE12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bookmarkStart w:id="0" w:name="_GoBack"/>
            <w:r>
              <w:rPr>
                <w:rFonts w:hint="eastAsia" w:ascii="宋体" w:hAnsi="宋体" w:eastAsia="宋体" w:cs="宋体"/>
                <w:i w:val="0"/>
                <w:iCs w:val="0"/>
                <w:color w:val="000000"/>
                <w:kern w:val="0"/>
                <w:sz w:val="24"/>
                <w:szCs w:val="24"/>
                <w:u w:val="none"/>
                <w:bdr w:val="none" w:color="auto" w:sz="0" w:space="0"/>
                <w:lang w:val="en-US" w:eastAsia="zh-CN" w:bidi="ar"/>
              </w:rPr>
              <w:t>1、执行标准：设备需通过公安部检测中心按照GB15210-2018标准检测，并提供公安部检验报告证明。（投标人须提供第三方具有检测资质的检测机构出具的检测（检验）报告佐证本条技术参数）</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2、智能分类探测门采用抗干扰功能 针对各种使用环境的电磁干扰，整个系统采用了先进的电磁兼容设计，并使用DSP处理器对违禁物品的采样信号进行相关运算和滤波，从而使得整套设备具有极强的电磁抗干扰能力。探测单元与模拟板卡组成信号整理滤波单元，实现对特定的微弱模拟信号的采集及选频放大。</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3、系统至少具有两种工作模式，便于根据不同要求进行灵活调整。</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4、模式一是电子产品探测模式，只对4寸的智能手机、NOKIA2610手机、对讲机、笔记本电脑、BL090联想手机电池、移动硬盘、电话手表、Kodakec021数码照相机、录音笔、5cm*8cm电子无线作弊器进行声光报警并以图形和文字的形式提示，应能提示藏匿位置，而对于机械手表、金属纽扣、项链、打火机、钥匙、硬币、皮带扣、金属肩章、警帽帽徽、制服金属标牌、钥匙、钢笔、折叠雨伞、不锈钢水杯等小金属通过时系统应不报警；</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5、模式二为全金属检测模式，该模式携带金属物品就会进行声光报警，适应于有极端严格安保要求的场所或者安检要求非常高的特殊时段。两种模式通过液晶触摸屏进行手动设置。</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6、在违禁品探测模式下，除了探测管制刀枪、黑色金属与有色金属的罐体管体外，应能对非金属外壳包装的钢珠和钢钉或铁钉的混合物等违禁品报警。</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7、设备能自主实现金属违禁物品和日常金属物品的识别、分类、过滤功能，不得采用调节探测门灵敏度的方式实现，保障了安检人员使用的便利性，具备实用性。</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8、★违禁品探测模式下，设备能对探测到的违禁物品类别进行文字图像提示，分类类别大于等于四类：铁质物品类、马口铁罐类、铝制易拉罐体类、手机手表类等。其中手机手表类只进行文字图像提示但不报警，铁质物品类、马口铁罐类、铝制易拉罐体类等在进行文字图像提示报警物品类别的同时需进行报警；而对于机械手表、金属纽扣、项链、打火机、钥匙、硬币、皮带扣、手机、折叠雨伞等小金属通过时系统应不报警。(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9、★智能分类探测门具有10寸液晶触摸功能屏和24寸液晶显示屏；10寸液晶触摸屏应可进行设备调试、参数设置；(公安部检测报告证明出具带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10、★屏幕显示功能：设备应配大于等于24寸液晶显示屏应可显示报警物品的种类、区位、报警抓拍照片、体温筛查结果、人证核验结果、报警时间等信息。当24寸液晶屏及内置主机因故中断，应不影响安检门违禁品探测功能的正常使用。(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11、★环境自适应功能：安检门应可自动检测周围环境，一键复位重启后，应能自动选择最优工作参数。(公安部检测报告证明出具带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12、具有抗干扰能力，可适应大金属干扰的安装场地，探测性能应不受门体两侧20cm范围以外的大静止金属物体例如X光安检机的影响。</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13、抗相互干扰功能：以大于等于20cm外沿间距，并排安置多台安检门时，各安检门均应能正常工作。</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14、设备符合EMC电磁辐射标准。对心脏起搏器、孕妇、幼儿、磁记录材料等无损害。</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15、★数据存储功能：安检门应可配置串口、USB口、网线接口、WIFI设备，应可组网，应具有数据存储功能，应能将通过人数、告警次数、报警人数、报警抓取照片、违禁品携带位置、故障告警等工作参数保存在数据库。数据应与测温数据进行绑定，数据库应能根据条件进行查询、统计并导出数据，应可与其他电子设备进行数据交换。(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16、网络功能检查：安检门应能组网连接，各安检门工作参数应能上传云平台。云平台中心管理软件应能进行多级权限分级，应可根据权限对安检门进行统一监控，实现远程管理等功能。</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17、★视频监控功能：安检门应配备内置摄像头及补光灯，安检门应抓拍每个通过人员的照片，每张照片应小于150K，应能实时将文件传送至中心平台管理系统，存储空间快满时，系统应自动清除陈旧数据，确保数据存储的容量。(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18、设备联动功能：系统报警时，安检门应输出控制信号给闸机、门禁、AB门等外围设备，实现联动控制。应可通过串口、网口等接口与其他平台软件进行通讯。</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19、★人证核验功能：配置人证核验设备后，应能采集记录人证信息，比对后应将结果显示在显示屏上。当人证不一致时系统应报警，安检门应记录核验结果并上传至中心平台管理系统。(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20、★黑白名单管理功能： 设备应支持黑白名单管理功能，当采集到的人证信息与事先录入的黑白名单一致时，系统应能报警或放行，应有语音提示，并将信息上传至中心平台管理系统。(公安部检测报告证明出具带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21、★报警分类统计功能：系统应能对“通行人数”、“携带违禁品人员”、“体温异常人员”等数据进行分类统计。(公安部检测报告证明出具带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22、显示切换功能：安检门应能通过网线与远程监控一体机连接，应能与24寸液晶屏切换显示工作参数。</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23、★设备应具有两路测温模块（热成像测温+红外测温），以保证不同情况下测温结果的准确性。</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24、★口罩识别功能：系统应能识别通行人员是否佩戴口罩，如没有戴口罩，系统应有语音提示。(公安部检测报告证明出具带 CANS、CMA 标识的检测报告扫描件)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25、黑体设置功能：系统应配有黑体模块，应能设置黑体工作温度。</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26、★测温显示功能：系统应能同时显示可见光画面和红外热成像图。(公安部检测报告证明出具带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27、警示温度可调功能：温度报警阈值应有安全温度限值设置，限值应可调。</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28、测温报警功能：当测到通过人员的温度超过预先设定的报警阈值时，系统应有声光及语音报警。</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29、★测温区域设置功能：系统应能设定热成像摄像头的测温区域，只对进入测温区域的人员进行测温。(公安部检测报告证明出具带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30、★热成像测温模块：无接触、高通量的体温快速检测，具有高精度和高分辨率，室温下测量误差±0.2℃。一旦体温超过37°的高温人员通过，系统自动报警。(公安部检测报告证明出具带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31、红外测温模块：无接触，测量误差±0.4℃。一旦体温超过37°的高温人员通过，系统自动报警，当环境温度高于人体温度时，红外测温功能应仍可以正常工作。</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32、★安检门外壳防护等级应符合GB/T 4208-2017中≥IP54的相关要求。(公安部检测报告证明出具带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33、通道尺寸：≥1980mm(高)x≥710mm(宽)x≥910mm(深)</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34、具有通行人数、报警人数统计功能；</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35、操作授权：具有密码保护功能，具有至少两级用户权限；</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36、工作环境：-20摄氏度～55摄氏度。</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37、外接电源：AC110～230V/50～60HZ无需调整而能正常工作。</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38、防震设计：底部配有固定件，防水、防潮并防震。</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39、★连续稳定工作时间：应大于等于96h，待机期间不应出现误报警。(公安部检测报告证明出具带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40、★报警声音：≥99.5dB。(公安部检测报告证明出具带 CANS、CMA 标识的检测报告扫描件)</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检测依据:带★项必须提供标注该项内容在（公安部检验中心检验报告）对应所在页码及序号并加盖投标人公章（原件备查）检验依据标准必须为GB15210-2018通用技术要求，作为评判依据，技术参数检验检测报告中未体现或未描述部分视为负偏离或不响应，检验检测报告的出具日期不得晚于本项目招标公告发布之日起。</w:t>
            </w:r>
            <w:bookmarkEnd w:id="0"/>
          </w:p>
        </w:tc>
      </w:tr>
      <w:tr w14:paraId="79AC2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C563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备注</w:t>
            </w:r>
          </w:p>
        </w:tc>
        <w:tc>
          <w:tcPr>
            <w:tcW w:w="8146" w:type="dxa"/>
            <w:gridSpan w:val="3"/>
            <w:tcBorders>
              <w:top w:val="single" w:color="000000" w:sz="4" w:space="0"/>
              <w:left w:val="single" w:color="000000" w:sz="4" w:space="0"/>
              <w:bottom w:val="single" w:color="000000" w:sz="4" w:space="0"/>
              <w:right w:val="single" w:color="000000" w:sz="4" w:space="0"/>
            </w:tcBorders>
            <w:shd w:val="clear"/>
            <w:vAlign w:val="center"/>
          </w:tcPr>
          <w:p w14:paraId="7F50CE23">
            <w:pPr>
              <w:jc w:val="center"/>
              <w:rPr>
                <w:rFonts w:hint="eastAsia" w:ascii="宋体" w:hAnsi="宋体" w:eastAsia="宋体" w:cs="宋体"/>
                <w:i w:val="0"/>
                <w:iCs w:val="0"/>
                <w:color w:val="000000"/>
                <w:sz w:val="22"/>
                <w:szCs w:val="22"/>
                <w:u w:val="none"/>
              </w:rPr>
            </w:pPr>
          </w:p>
        </w:tc>
      </w:tr>
    </w:tbl>
    <w:p w14:paraId="36ACA915">
      <w:pPr>
        <w:rPr>
          <w:rFonts w:hint="default" w:ascii="仿宋" w:hAnsi="仿宋" w:eastAsia="仿宋"/>
          <w:sz w:val="28"/>
          <w:szCs w:val="28"/>
          <w:lang w:val="en-US" w:eastAsia="zh-CN"/>
        </w:rPr>
      </w:pPr>
    </w:p>
    <w:p w14:paraId="13ED92D8">
      <w:pPr>
        <w:rPr>
          <w:rFonts w:ascii="仿宋" w:hAnsi="仿宋"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336198"/>
    <w:rsid w:val="044047DD"/>
    <w:rsid w:val="19EB74F5"/>
    <w:rsid w:val="1D12234E"/>
    <w:rsid w:val="3E5328E3"/>
    <w:rsid w:val="4654337F"/>
    <w:rsid w:val="76336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font11"/>
    <w:basedOn w:val="5"/>
    <w:uiPriority w:val="0"/>
    <w:rPr>
      <w:rFonts w:hint="eastAsia" w:ascii="宋体" w:hAnsi="宋体" w:eastAsia="宋体" w:cs="宋体"/>
      <w:b/>
      <w:bCs/>
      <w:color w:val="000000"/>
      <w:sz w:val="28"/>
      <w:szCs w:val="28"/>
      <w:u w:val="none"/>
    </w:rPr>
  </w:style>
  <w:style w:type="character" w:customStyle="1" w:styleId="7">
    <w:name w:val="font61"/>
    <w:basedOn w:val="5"/>
    <w:uiPriority w:val="0"/>
    <w:rPr>
      <w:rFonts w:hint="default" w:ascii="Times New Roman" w:hAnsi="Times New Roman" w:cs="Times New Roman"/>
      <w:b/>
      <w:bCs/>
      <w:color w:val="000000"/>
      <w:sz w:val="28"/>
      <w:szCs w:val="28"/>
      <w:u w:val="none"/>
    </w:rPr>
  </w:style>
  <w:style w:type="character" w:customStyle="1" w:styleId="8">
    <w:name w:val="font41"/>
    <w:basedOn w:val="5"/>
    <w:uiPriority w:val="0"/>
    <w:rPr>
      <w:rFonts w:hint="eastAsia" w:ascii="宋体" w:hAnsi="宋体" w:eastAsia="宋体" w:cs="宋体"/>
      <w:color w:val="000000"/>
      <w:sz w:val="24"/>
      <w:szCs w:val="24"/>
      <w:u w:val="none"/>
    </w:rPr>
  </w:style>
  <w:style w:type="character" w:customStyle="1" w:styleId="9">
    <w:name w:val="font71"/>
    <w:basedOn w:val="5"/>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615</Words>
  <Characters>729</Characters>
  <Lines>0</Lines>
  <Paragraphs>0</Paragraphs>
  <TotalTime>68</TotalTime>
  <ScaleCrop>false</ScaleCrop>
  <LinksUpToDate>false</LinksUpToDate>
  <CharactersWithSpaces>729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2026-10-26T00:59:00Z</dcterms:created>
  <dc:creator>缱</dc:creator>
  <cp:lastModifiedBy>BingGe</cp:lastModifiedBy>
  <dcterms:modified xsi:type="dcterms:W3CDTF">2026-11-03T02:37:03Z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2C8634FDDD3548A9A0DD1A02A43F1804_13</vt:lpwstr>
  </property>
  <property fmtid="{D5CDD505-2E9C-101B-9397-08002B2CF9AE}" pid="4" name="KSOTemplateDocerSaveRecord">
    <vt:lpwstr>eyJoZGlkIjoiYWRjZDBhNmNjNmUyMTMyMDVhNjkwNDM3NjdjZTg3OWMiLCJ1c2VySWQiOiI4NTg1MTAwNzkifQ==</vt:lpwstr>
  </property>
</Properties>
</file>